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C028" w14:textId="77777777" w:rsidR="007D3387" w:rsidRDefault="007D3387" w:rsidP="007D3387">
      <w:pPr>
        <w:pStyle w:val="Default"/>
      </w:pPr>
    </w:p>
    <w:p w14:paraId="0D068917" w14:textId="77777777" w:rsidR="007D3387" w:rsidRPr="007D3387" w:rsidRDefault="007D3387" w:rsidP="007D3387">
      <w:pPr>
        <w:pStyle w:val="Default"/>
        <w:jc w:val="center"/>
        <w:rPr>
          <w:b/>
        </w:rPr>
      </w:pPr>
      <w:r w:rsidRPr="007D3387">
        <w:rPr>
          <w:b/>
          <w:bCs/>
        </w:rPr>
        <w:t>FEES AND CHARGES</w:t>
      </w:r>
    </w:p>
    <w:p w14:paraId="4EC5E091" w14:textId="77777777" w:rsidR="007D3387" w:rsidRPr="007D3387" w:rsidRDefault="007D3387" w:rsidP="007D3387">
      <w:pPr>
        <w:spacing w:before="100" w:beforeAutospacing="1" w:after="100" w:afterAutospacing="1"/>
        <w:rPr>
          <w:bCs/>
          <w:sz w:val="22"/>
          <w:szCs w:val="22"/>
        </w:rPr>
      </w:pPr>
      <w:r w:rsidRPr="007D3387">
        <w:rPr>
          <w:bCs/>
          <w:sz w:val="22"/>
          <w:szCs w:val="22"/>
        </w:rPr>
        <w:t xml:space="preserve">Not all services at the practice are available under the NHS. Where patients request non-NHS items or services, a private fee may be payable in accordance with British Medical Association (BMA) guidance and in line with charges applied by other General Practice surgeries. </w:t>
      </w:r>
    </w:p>
    <w:p w14:paraId="1844F0C5" w14:textId="77777777" w:rsidR="007D3387" w:rsidRPr="007D3387" w:rsidRDefault="007D3387" w:rsidP="007D3387">
      <w:pPr>
        <w:spacing w:before="100" w:beforeAutospacing="1" w:after="100" w:afterAutospacing="1"/>
        <w:rPr>
          <w:rFonts w:eastAsia="Times New Roman" w:cs="Arial"/>
          <w:b/>
          <w:sz w:val="22"/>
          <w:szCs w:val="22"/>
          <w:lang w:val="en" w:eastAsia="en-GB"/>
        </w:rPr>
      </w:pPr>
      <w:r w:rsidRPr="007D3387">
        <w:rPr>
          <w:rFonts w:eastAsia="Times New Roman" w:cs="Arial"/>
          <w:b/>
          <w:bCs/>
          <w:sz w:val="22"/>
          <w:szCs w:val="22"/>
          <w:u w:val="single"/>
          <w:lang w:val="en" w:eastAsia="en-GB"/>
        </w:rPr>
        <w:t>Why fees are charged for some services</w:t>
      </w:r>
    </w:p>
    <w:p w14:paraId="27D58418"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NHS services are provided free of charge to our patients under our General Medical Services contract and the NHS covers the cost of providing these services. However, some additional services are not available under the NHS and are not paid for by NHS funding.  GPs are self-employed and have to cover the costs of running the GP Practice just like any other business. For example, they need to pay staff, heating and lighting costs and also invest in developing the services and facilities provided.  Time spent by GPs completing private reports and undertaking private me</w:t>
      </w:r>
      <w:r>
        <w:rPr>
          <w:rFonts w:eastAsia="Times New Roman" w:cs="Arial"/>
          <w:sz w:val="22"/>
          <w:szCs w:val="22"/>
          <w:lang w:val="en" w:eastAsia="en-GB"/>
        </w:rPr>
        <w:t>dical examinations are</w:t>
      </w:r>
      <w:r w:rsidRPr="007D3387">
        <w:rPr>
          <w:rFonts w:eastAsia="Times New Roman" w:cs="Arial"/>
          <w:sz w:val="22"/>
          <w:szCs w:val="22"/>
          <w:lang w:val="en" w:eastAsia="en-GB"/>
        </w:rPr>
        <w:t xml:space="preserve"> done outside of normal contracted working hours as an extra commitment to a GPs workload.  The fees charged for non-NHS services go towards covering the costs of running and investing in our Practice to provide the wide range of services patients require.</w:t>
      </w:r>
    </w:p>
    <w:p w14:paraId="45394DFB" w14:textId="77777777" w:rsidR="007D3387" w:rsidRPr="007D3387" w:rsidRDefault="007D3387" w:rsidP="007D3387">
      <w:pPr>
        <w:spacing w:before="100" w:beforeAutospacing="1" w:after="100" w:afterAutospacing="1"/>
        <w:rPr>
          <w:rFonts w:eastAsia="Times New Roman" w:cs="Arial"/>
          <w:b/>
          <w:sz w:val="22"/>
          <w:szCs w:val="22"/>
          <w:lang w:val="en" w:eastAsia="en-GB"/>
        </w:rPr>
      </w:pPr>
      <w:r w:rsidRPr="007D3387">
        <w:rPr>
          <w:rFonts w:eastAsia="Times New Roman" w:cs="Arial"/>
          <w:b/>
          <w:bCs/>
          <w:sz w:val="22"/>
          <w:szCs w:val="22"/>
          <w:u w:val="single"/>
          <w:lang w:val="en" w:eastAsia="en-GB"/>
        </w:rPr>
        <w:t>What type of service is non-NHS and who pays the fees</w:t>
      </w:r>
    </w:p>
    <w:p w14:paraId="4271780A"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 xml:space="preserve">Some services for which a non-NHS fee is applicable will be payable by patients themselves and some services will be payable by other organisations, e.g. insurance companies, local authorities, and solicitors, etc.  </w:t>
      </w:r>
    </w:p>
    <w:p w14:paraId="1616FA04"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 xml:space="preserve">Patients should note that </w:t>
      </w:r>
      <w:r w:rsidRPr="007D3387">
        <w:rPr>
          <w:rFonts w:eastAsia="Times New Roman" w:cs="Arial"/>
          <w:bCs/>
          <w:sz w:val="22"/>
          <w:szCs w:val="22"/>
          <w:u w:val="single"/>
          <w:lang w:val="en" w:eastAsia="en-GB"/>
        </w:rPr>
        <w:t>not</w:t>
      </w:r>
      <w:r w:rsidRPr="007D3387">
        <w:rPr>
          <w:rFonts w:eastAsia="Times New Roman" w:cs="Arial"/>
          <w:sz w:val="22"/>
          <w:szCs w:val="22"/>
          <w:lang w:val="en" w:eastAsia="en-GB"/>
        </w:rPr>
        <w:t xml:space="preserve"> all documents need the signature of a doctor, for example passport applications, where you can ask another person in a position of trust to sign such documents free of charge.  Similarly, not all forms need to be completed by a doctor, for example Bus Pass and Blue Badge forms – these can be completed and submitted by patients themselves and only if the application was refused might the patient want to ask the doctor to provide additional information to support their application.</w:t>
      </w:r>
    </w:p>
    <w:p w14:paraId="0A8231E4" w14:textId="77777777" w:rsidR="007D3387" w:rsidRPr="007D3387" w:rsidRDefault="007D3387" w:rsidP="007D3387">
      <w:pPr>
        <w:spacing w:before="100" w:beforeAutospacing="1" w:after="100" w:afterAutospacing="1"/>
        <w:rPr>
          <w:rFonts w:eastAsia="Times New Roman" w:cs="Arial"/>
          <w:b/>
          <w:sz w:val="22"/>
          <w:szCs w:val="22"/>
          <w:lang w:val="en" w:eastAsia="en-GB"/>
        </w:rPr>
      </w:pPr>
      <w:r w:rsidRPr="007D3387">
        <w:rPr>
          <w:rFonts w:eastAsia="Times New Roman" w:cs="Arial"/>
          <w:b/>
          <w:bCs/>
          <w:sz w:val="22"/>
          <w:szCs w:val="22"/>
          <w:u w:val="single"/>
          <w:lang w:val="en" w:eastAsia="en-GB"/>
        </w:rPr>
        <w:t>How long it takes for private non-NHS forms etc to be completed</w:t>
      </w:r>
    </w:p>
    <w:p w14:paraId="3FC0A16A"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A doctor’s priority will always be the care provided for patients under the NHS. Time spent completing forms and preparing reports adds to their already heavy workload and non-NHS work is generally done in the doctors’ own time.  The patient may feel that they only require a doctor’s signature on a form which should not take long, but a condition of remaining on the Medical Register is that a doctor only signs what they know to be true.  They therefore may need to check the patient’s entire medical record to avoid serious consequences for the doctor with the General Medical Council (GMC).  The waiting time for non-NHS work and services completed outside normal working hours is therefore likely to be affected by this. </w:t>
      </w:r>
    </w:p>
    <w:p w14:paraId="5BFD3214"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Patients are advised that any documentation to be completed by a doctor may, in general, take approximately 15- 20 working days (dependent upon the availability of the doctor concerned and any factors such as annual leave, sickness, etc)</w:t>
      </w:r>
      <w:r>
        <w:rPr>
          <w:rFonts w:eastAsia="Times New Roman" w:cs="Arial"/>
          <w:sz w:val="22"/>
          <w:szCs w:val="22"/>
          <w:lang w:val="en" w:eastAsia="en-GB"/>
        </w:rPr>
        <w:t>.</w:t>
      </w:r>
    </w:p>
    <w:p w14:paraId="1B77098D" w14:textId="77777777" w:rsidR="007D3387" w:rsidRDefault="007D3387" w:rsidP="007D3387">
      <w:pPr>
        <w:spacing w:before="100" w:beforeAutospacing="1" w:after="100" w:afterAutospacing="1"/>
        <w:rPr>
          <w:rFonts w:eastAsia="Times New Roman" w:cs="Arial"/>
          <w:b/>
          <w:bCs/>
          <w:sz w:val="22"/>
          <w:szCs w:val="22"/>
          <w:u w:val="single"/>
          <w:lang w:val="en" w:eastAsia="en-GB"/>
        </w:rPr>
      </w:pPr>
    </w:p>
    <w:p w14:paraId="40B6295C" w14:textId="77777777" w:rsidR="007D3387" w:rsidRDefault="007D3387" w:rsidP="007D3387">
      <w:pPr>
        <w:spacing w:before="100" w:beforeAutospacing="1" w:after="100" w:afterAutospacing="1"/>
        <w:rPr>
          <w:rFonts w:eastAsia="Times New Roman" w:cs="Arial"/>
          <w:b/>
          <w:bCs/>
          <w:sz w:val="22"/>
          <w:szCs w:val="22"/>
          <w:u w:val="single"/>
          <w:lang w:val="en" w:eastAsia="en-GB"/>
        </w:rPr>
      </w:pPr>
    </w:p>
    <w:p w14:paraId="275D7EAC" w14:textId="77777777" w:rsidR="007D3387" w:rsidRPr="007D3387" w:rsidRDefault="007D3387" w:rsidP="007D3387">
      <w:pPr>
        <w:spacing w:before="100" w:beforeAutospacing="1" w:after="100" w:afterAutospacing="1"/>
        <w:rPr>
          <w:rFonts w:eastAsia="Times New Roman" w:cs="Arial"/>
          <w:b/>
          <w:sz w:val="22"/>
          <w:szCs w:val="22"/>
          <w:lang w:val="en" w:eastAsia="en-GB"/>
        </w:rPr>
      </w:pPr>
      <w:r w:rsidRPr="007D3387">
        <w:rPr>
          <w:rFonts w:eastAsia="Times New Roman" w:cs="Arial"/>
          <w:b/>
          <w:bCs/>
          <w:sz w:val="22"/>
          <w:szCs w:val="22"/>
          <w:u w:val="single"/>
          <w:lang w:val="en" w:eastAsia="en-GB"/>
        </w:rPr>
        <w:lastRenderedPageBreak/>
        <w:t xml:space="preserve">How </w:t>
      </w:r>
      <w:r>
        <w:rPr>
          <w:rFonts w:eastAsia="Times New Roman" w:cs="Arial"/>
          <w:b/>
          <w:bCs/>
          <w:sz w:val="22"/>
          <w:szCs w:val="22"/>
          <w:u w:val="single"/>
          <w:lang w:val="en" w:eastAsia="en-GB"/>
        </w:rPr>
        <w:t>fees</w:t>
      </w:r>
      <w:r w:rsidRPr="007D3387">
        <w:rPr>
          <w:rFonts w:eastAsia="Times New Roman" w:cs="Arial"/>
          <w:b/>
          <w:bCs/>
          <w:sz w:val="22"/>
          <w:szCs w:val="22"/>
          <w:u w:val="single"/>
          <w:lang w:val="en" w:eastAsia="en-GB"/>
        </w:rPr>
        <w:t xml:space="preserve"> are determined</w:t>
      </w:r>
    </w:p>
    <w:p w14:paraId="48D15491"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Our fees and charges are set in accordance with British Medical Association (BMA) guidance and in line with charges applied by other General Practice surgeries.</w:t>
      </w:r>
    </w:p>
    <w:p w14:paraId="21A60E7A"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 xml:space="preserve">The British Medical Association (BMA) provides guidance on a range of fees. Their suggested fees are for guidance only, and are not recommendations, and doctors are not obliged to charge the rates which they suggest.  Our list of charges reflects the </w:t>
      </w:r>
      <w:r w:rsidRPr="007D3387">
        <w:rPr>
          <w:rFonts w:eastAsia="Times New Roman" w:cs="Arial"/>
          <w:bCs/>
          <w:sz w:val="22"/>
          <w:szCs w:val="22"/>
          <w:lang w:val="en" w:eastAsia="en-GB"/>
        </w:rPr>
        <w:t>BMA</w:t>
      </w:r>
      <w:r w:rsidRPr="007D3387">
        <w:rPr>
          <w:rFonts w:eastAsia="Times New Roman" w:cs="Arial"/>
          <w:sz w:val="22"/>
          <w:szCs w:val="22"/>
          <w:lang w:val="en" w:eastAsia="en-GB"/>
        </w:rPr>
        <w:t xml:space="preserve"> suggested fees for some services while for most other services, our fees are lower than the </w:t>
      </w:r>
      <w:r w:rsidRPr="007D3387">
        <w:rPr>
          <w:rFonts w:eastAsia="Times New Roman" w:cs="Arial"/>
          <w:bCs/>
          <w:sz w:val="22"/>
          <w:szCs w:val="22"/>
          <w:lang w:val="en" w:eastAsia="en-GB"/>
        </w:rPr>
        <w:t>BMA</w:t>
      </w:r>
      <w:r w:rsidRPr="007D3387">
        <w:rPr>
          <w:rFonts w:eastAsia="Times New Roman" w:cs="Arial"/>
          <w:sz w:val="22"/>
          <w:szCs w:val="22"/>
          <w:lang w:val="en" w:eastAsia="en-GB"/>
        </w:rPr>
        <w:t xml:space="preserve"> recommended fees. </w:t>
      </w:r>
    </w:p>
    <w:p w14:paraId="7A8622F4" w14:textId="77777777" w:rsidR="007D3387" w:rsidRPr="007D3387" w:rsidRDefault="007D3387" w:rsidP="007D3387">
      <w:pPr>
        <w:spacing w:before="100" w:beforeAutospacing="1" w:after="100" w:afterAutospacing="1"/>
        <w:rPr>
          <w:rFonts w:eastAsia="Times New Roman" w:cs="Arial"/>
          <w:sz w:val="22"/>
          <w:szCs w:val="22"/>
          <w:lang w:val="en" w:eastAsia="en-GB"/>
        </w:rPr>
      </w:pPr>
      <w:r w:rsidRPr="007D3387">
        <w:rPr>
          <w:rFonts w:eastAsia="Times New Roman" w:cs="Arial"/>
          <w:sz w:val="22"/>
          <w:szCs w:val="22"/>
          <w:lang w:val="en" w:eastAsia="en-GB"/>
        </w:rPr>
        <w:t xml:space="preserve">Payment for services can be made by cash or </w:t>
      </w:r>
      <w:r w:rsidR="00D254EC">
        <w:rPr>
          <w:rFonts w:eastAsia="Times New Roman" w:cs="Arial"/>
          <w:sz w:val="22"/>
          <w:szCs w:val="22"/>
          <w:lang w:val="en" w:eastAsia="en-GB"/>
        </w:rPr>
        <w:t>credit card</w:t>
      </w:r>
      <w:r w:rsidRPr="007D3387">
        <w:rPr>
          <w:rFonts w:eastAsia="Times New Roman" w:cs="Arial"/>
          <w:sz w:val="22"/>
          <w:szCs w:val="22"/>
          <w:lang w:val="en" w:eastAsia="en-GB"/>
        </w:rPr>
        <w:t xml:space="preserve"> only and a receipt will be provided.  If a service you require is not on our list please enquire at Reception and we will look into whether this can be provided and what the fee would be.  Our list of fees will be reviewed and updated annually.</w:t>
      </w:r>
    </w:p>
    <w:tbl>
      <w:tblPr>
        <w:tblStyle w:val="LightList-Accent1"/>
        <w:tblW w:w="9252" w:type="dxa"/>
        <w:tblLook w:val="04A0" w:firstRow="1" w:lastRow="0" w:firstColumn="1" w:lastColumn="0" w:noHBand="0" w:noVBand="1"/>
      </w:tblPr>
      <w:tblGrid>
        <w:gridCol w:w="4395"/>
        <w:gridCol w:w="236"/>
        <w:gridCol w:w="4621"/>
      </w:tblGrid>
      <w:tr w:rsidR="007D3387" w:rsidRPr="007D3387" w14:paraId="3498FBC9" w14:textId="77777777" w:rsidTr="007D3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06F7D32B" w14:textId="77777777" w:rsidR="007D3387" w:rsidRPr="007D3387" w:rsidRDefault="007D3387" w:rsidP="007D3387">
            <w:pPr>
              <w:jc w:val="center"/>
              <w:rPr>
                <w:b w:val="0"/>
                <w:sz w:val="22"/>
                <w:szCs w:val="22"/>
              </w:rPr>
            </w:pPr>
            <w:r w:rsidRPr="007D3387">
              <w:rPr>
                <w:b w:val="0"/>
                <w:sz w:val="22"/>
                <w:szCs w:val="22"/>
              </w:rPr>
              <w:t xml:space="preserve">Fees payable by patient </w:t>
            </w:r>
          </w:p>
        </w:tc>
        <w:tc>
          <w:tcPr>
            <w:tcW w:w="236" w:type="dxa"/>
            <w:tcBorders>
              <w:left w:val="single" w:sz="4" w:space="0" w:color="auto"/>
            </w:tcBorders>
          </w:tcPr>
          <w:p w14:paraId="6C6CDB15" w14:textId="77777777" w:rsidR="007D3387" w:rsidRPr="007D3387" w:rsidRDefault="007D3387">
            <w:pPr>
              <w:cnfStyle w:val="100000000000" w:firstRow="1" w:lastRow="0" w:firstColumn="0" w:lastColumn="0" w:oddVBand="0" w:evenVBand="0" w:oddHBand="0" w:evenHBand="0" w:firstRowFirstColumn="0" w:firstRowLastColumn="0" w:lastRowFirstColumn="0" w:lastRowLastColumn="0"/>
              <w:rPr>
                <w:b w:val="0"/>
                <w:bCs w:val="0"/>
                <w:sz w:val="22"/>
                <w:szCs w:val="22"/>
              </w:rPr>
            </w:pPr>
          </w:p>
        </w:tc>
        <w:tc>
          <w:tcPr>
            <w:tcW w:w="4621" w:type="dxa"/>
          </w:tcPr>
          <w:p w14:paraId="271D92E4" w14:textId="77777777" w:rsidR="007D3387" w:rsidRPr="007D3387" w:rsidRDefault="007D3387">
            <w:pPr>
              <w:cnfStyle w:val="100000000000" w:firstRow="1" w:lastRow="0" w:firstColumn="0" w:lastColumn="0" w:oddVBand="0" w:evenVBand="0" w:oddHBand="0" w:evenHBand="0" w:firstRowFirstColumn="0" w:firstRowLastColumn="0" w:lastRowFirstColumn="0" w:lastRowLastColumn="0"/>
              <w:rPr>
                <w:b w:val="0"/>
                <w:sz w:val="22"/>
                <w:szCs w:val="22"/>
              </w:rPr>
            </w:pPr>
            <w:r w:rsidRPr="007D3387">
              <w:rPr>
                <w:b w:val="0"/>
                <w:sz w:val="22"/>
                <w:szCs w:val="22"/>
              </w:rPr>
              <w:t xml:space="preserve">Fee </w:t>
            </w:r>
          </w:p>
        </w:tc>
      </w:tr>
      <w:tr w:rsidR="007D3387" w:rsidRPr="007D3387" w14:paraId="02AAAAC9" w14:textId="77777777" w:rsidTr="007D3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6C002861" w14:textId="77777777" w:rsidR="007D3387" w:rsidRPr="007D3387" w:rsidRDefault="007D3387">
            <w:pPr>
              <w:rPr>
                <w:rFonts w:cs="Arial"/>
                <w:b w:val="0"/>
              </w:rPr>
            </w:pPr>
            <w:r w:rsidRPr="007D3387">
              <w:rPr>
                <w:rFonts w:cs="Arial"/>
                <w:b w:val="0"/>
              </w:rPr>
              <w:t xml:space="preserve">Private health insurance Claim </w:t>
            </w:r>
          </w:p>
          <w:p w14:paraId="5D1A13B0" w14:textId="77777777" w:rsidR="007D3387" w:rsidRPr="007D3387" w:rsidRDefault="007D3387">
            <w:pPr>
              <w:rPr>
                <w:rFonts w:cs="Arial"/>
                <w:b w:val="0"/>
              </w:rPr>
            </w:pPr>
          </w:p>
        </w:tc>
        <w:tc>
          <w:tcPr>
            <w:tcW w:w="236" w:type="dxa"/>
            <w:tcBorders>
              <w:left w:val="single" w:sz="4" w:space="0" w:color="auto"/>
            </w:tcBorders>
          </w:tcPr>
          <w:p w14:paraId="4C7229EB" w14:textId="77777777"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52BEF430" w14:textId="55B1C505"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rPr>
            </w:pPr>
            <w:r w:rsidRPr="007D3387">
              <w:rPr>
                <w:rFonts w:cs="Arial"/>
              </w:rPr>
              <w:t>£</w:t>
            </w:r>
            <w:r w:rsidR="00552E6D">
              <w:rPr>
                <w:rFonts w:cs="Arial"/>
              </w:rPr>
              <w:t>50</w:t>
            </w:r>
          </w:p>
        </w:tc>
      </w:tr>
      <w:tr w:rsidR="007D3387" w:rsidRPr="007D3387" w14:paraId="44D2487C" w14:textId="77777777" w:rsidTr="007D3387">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68669039" w14:textId="77777777" w:rsidR="007D3387" w:rsidRPr="007D3387" w:rsidRDefault="007D3387" w:rsidP="007D3387">
            <w:pPr>
              <w:autoSpaceDE w:val="0"/>
              <w:autoSpaceDN w:val="0"/>
              <w:adjustRightInd w:val="0"/>
              <w:rPr>
                <w:rFonts w:cs="Arial"/>
                <w:b w:val="0"/>
                <w:color w:val="000000"/>
              </w:rPr>
            </w:pPr>
            <w:r w:rsidRPr="007D3387">
              <w:rPr>
                <w:rFonts w:cs="Arial"/>
                <w:b w:val="0"/>
                <w:color w:val="000000"/>
              </w:rPr>
              <w:t>Full medical examination and report</w:t>
            </w:r>
          </w:p>
          <w:p w14:paraId="1979A1AB" w14:textId="2EC90049" w:rsidR="007D3387" w:rsidRDefault="00CF644C" w:rsidP="00CF644C">
            <w:pPr>
              <w:autoSpaceDE w:val="0"/>
              <w:autoSpaceDN w:val="0"/>
              <w:adjustRightInd w:val="0"/>
              <w:rPr>
                <w:rFonts w:cs="Arial"/>
                <w:bCs w:val="0"/>
                <w:color w:val="000000"/>
              </w:rPr>
            </w:pPr>
            <w:r w:rsidRPr="007D3387">
              <w:rPr>
                <w:rFonts w:cs="Arial"/>
                <w:b w:val="0"/>
                <w:color w:val="000000"/>
              </w:rPr>
              <w:t>Drivers’</w:t>
            </w:r>
            <w:r w:rsidR="007D3387" w:rsidRPr="007D3387">
              <w:rPr>
                <w:rFonts w:cs="Arial"/>
                <w:b w:val="0"/>
                <w:color w:val="000000"/>
              </w:rPr>
              <w:t xml:space="preserve"> vocational licences (LGV, HGV, PCV, Taxi) </w:t>
            </w:r>
          </w:p>
          <w:p w14:paraId="1DD3ABC9" w14:textId="4F08C1A7" w:rsidR="00CF644C" w:rsidRPr="00CF644C" w:rsidRDefault="00CF644C" w:rsidP="00CF644C">
            <w:pPr>
              <w:autoSpaceDE w:val="0"/>
              <w:autoSpaceDN w:val="0"/>
              <w:adjustRightInd w:val="0"/>
              <w:rPr>
                <w:rFonts w:cs="Arial"/>
                <w:b w:val="0"/>
                <w:color w:val="000000"/>
              </w:rPr>
            </w:pPr>
          </w:p>
        </w:tc>
        <w:tc>
          <w:tcPr>
            <w:tcW w:w="236" w:type="dxa"/>
            <w:tcBorders>
              <w:left w:val="single" w:sz="4" w:space="0" w:color="auto"/>
            </w:tcBorders>
          </w:tcPr>
          <w:p w14:paraId="5C71FB29" w14:textId="77777777" w:rsidR="007D3387" w:rsidRPr="007D3387" w:rsidRDefault="007D3387">
            <w:pPr>
              <w:cnfStyle w:val="000000000000" w:firstRow="0" w:lastRow="0" w:firstColumn="0" w:lastColumn="0" w:oddVBand="0" w:evenVBand="0" w:oddHBand="0" w:evenHBand="0" w:firstRowFirstColumn="0" w:firstRowLastColumn="0" w:lastRowFirstColumn="0" w:lastRowLastColumn="0"/>
              <w:rPr>
                <w:rFonts w:cs="Arial"/>
                <w:bCs/>
              </w:rPr>
            </w:pPr>
          </w:p>
        </w:tc>
        <w:tc>
          <w:tcPr>
            <w:tcW w:w="4621" w:type="dxa"/>
          </w:tcPr>
          <w:p w14:paraId="1BBD3621" w14:textId="0D03FD16" w:rsidR="007D3387" w:rsidRPr="007D3387" w:rsidRDefault="007D3387" w:rsidP="00552E6D">
            <w:pPr>
              <w:tabs>
                <w:tab w:val="center" w:pos="2202"/>
              </w:tabs>
              <w:cnfStyle w:val="000000000000" w:firstRow="0" w:lastRow="0" w:firstColumn="0" w:lastColumn="0" w:oddVBand="0" w:evenVBand="0" w:oddHBand="0" w:evenHBand="0" w:firstRowFirstColumn="0" w:firstRowLastColumn="0" w:lastRowFirstColumn="0" w:lastRowLastColumn="0"/>
              <w:rPr>
                <w:rFonts w:cs="Arial"/>
              </w:rPr>
            </w:pPr>
            <w:r w:rsidRPr="007D3387">
              <w:rPr>
                <w:rFonts w:cs="Arial"/>
              </w:rPr>
              <w:t>£</w:t>
            </w:r>
            <w:r w:rsidR="00692910">
              <w:rPr>
                <w:rFonts w:cs="Arial"/>
              </w:rPr>
              <w:t>100</w:t>
            </w:r>
            <w:r w:rsidR="00552E6D">
              <w:rPr>
                <w:rFonts w:cs="Arial"/>
              </w:rPr>
              <w:t xml:space="preserve"> </w:t>
            </w:r>
            <w:r w:rsidRPr="007D3387">
              <w:rPr>
                <w:rFonts w:cs="Arial"/>
              </w:rPr>
              <w:t>-</w:t>
            </w:r>
            <w:r w:rsidR="00552E6D">
              <w:rPr>
                <w:rFonts w:cs="Arial"/>
              </w:rPr>
              <w:t xml:space="preserve"> </w:t>
            </w:r>
            <w:r w:rsidRPr="007D3387">
              <w:rPr>
                <w:rFonts w:cs="Arial"/>
              </w:rPr>
              <w:t>£1</w:t>
            </w:r>
            <w:r w:rsidR="00692910">
              <w:rPr>
                <w:rFonts w:cs="Arial"/>
              </w:rPr>
              <w:t>50</w:t>
            </w:r>
          </w:p>
        </w:tc>
      </w:tr>
      <w:tr w:rsidR="007D3387" w:rsidRPr="007D3387" w14:paraId="0235510F" w14:textId="77777777" w:rsidTr="007D3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5233953D" w14:textId="77777777" w:rsidR="007D3387" w:rsidRPr="007D3387" w:rsidRDefault="007D3387">
            <w:pPr>
              <w:rPr>
                <w:rFonts w:cs="Arial"/>
                <w:b w:val="0"/>
              </w:rPr>
            </w:pPr>
            <w:r w:rsidRPr="007D3387">
              <w:rPr>
                <w:rFonts w:cs="Arial"/>
                <w:b w:val="0"/>
              </w:rPr>
              <w:t xml:space="preserve">To whom it may concern letter </w:t>
            </w:r>
          </w:p>
          <w:p w14:paraId="1FF116FC" w14:textId="77777777" w:rsidR="007D3387" w:rsidRPr="007D3387" w:rsidRDefault="007D3387">
            <w:pPr>
              <w:rPr>
                <w:rFonts w:cs="Arial"/>
                <w:b w:val="0"/>
              </w:rPr>
            </w:pPr>
          </w:p>
        </w:tc>
        <w:tc>
          <w:tcPr>
            <w:tcW w:w="236" w:type="dxa"/>
            <w:tcBorders>
              <w:left w:val="single" w:sz="4" w:space="0" w:color="auto"/>
            </w:tcBorders>
          </w:tcPr>
          <w:p w14:paraId="7F0B8282" w14:textId="77777777"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779AA192" w14:textId="4F940BF3"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rPr>
            </w:pPr>
            <w:r w:rsidRPr="007D3387">
              <w:rPr>
                <w:rFonts w:cs="Arial"/>
              </w:rPr>
              <w:t>£2</w:t>
            </w:r>
            <w:r w:rsidR="00552E6D">
              <w:rPr>
                <w:rFonts w:cs="Arial"/>
              </w:rPr>
              <w:t>5</w:t>
            </w:r>
          </w:p>
        </w:tc>
      </w:tr>
      <w:tr w:rsidR="007D3387" w:rsidRPr="007D3387" w14:paraId="3C77F246" w14:textId="77777777" w:rsidTr="007D3387">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52735908" w14:textId="65247923" w:rsidR="007D3387" w:rsidRPr="007D3387" w:rsidRDefault="007D3387">
            <w:pPr>
              <w:rPr>
                <w:rFonts w:cs="Arial"/>
                <w:b w:val="0"/>
              </w:rPr>
            </w:pPr>
            <w:r w:rsidRPr="007D3387">
              <w:rPr>
                <w:rFonts w:cs="Arial"/>
                <w:b w:val="0"/>
              </w:rPr>
              <w:t xml:space="preserve">Firearms licence </w:t>
            </w:r>
            <w:r w:rsidR="00552E6D">
              <w:rPr>
                <w:rFonts w:cs="Arial"/>
                <w:b w:val="0"/>
              </w:rPr>
              <w:t>-</w:t>
            </w:r>
            <w:r w:rsidRPr="007D3387">
              <w:rPr>
                <w:rFonts w:cs="Arial"/>
                <w:b w:val="0"/>
              </w:rPr>
              <w:t xml:space="preserve"> </w:t>
            </w:r>
            <w:r w:rsidR="001A5AFA">
              <w:rPr>
                <w:rFonts w:cs="Arial"/>
                <w:b w:val="0"/>
              </w:rPr>
              <w:t>F</w:t>
            </w:r>
            <w:r w:rsidRPr="007D3387">
              <w:rPr>
                <w:rFonts w:cs="Arial"/>
                <w:b w:val="0"/>
              </w:rPr>
              <w:t xml:space="preserve">irst </w:t>
            </w:r>
          </w:p>
          <w:p w14:paraId="2E2B64AC" w14:textId="14BC5F92" w:rsidR="001A5AFA" w:rsidRPr="007D3387" w:rsidRDefault="001A5AFA" w:rsidP="001A5AFA">
            <w:pPr>
              <w:rPr>
                <w:rFonts w:cs="Arial"/>
                <w:b w:val="0"/>
              </w:rPr>
            </w:pPr>
          </w:p>
        </w:tc>
        <w:tc>
          <w:tcPr>
            <w:tcW w:w="236" w:type="dxa"/>
            <w:tcBorders>
              <w:left w:val="single" w:sz="4" w:space="0" w:color="auto"/>
            </w:tcBorders>
          </w:tcPr>
          <w:p w14:paraId="51C1E004" w14:textId="77777777" w:rsidR="007D3387" w:rsidRPr="007D3387" w:rsidRDefault="007D3387">
            <w:pPr>
              <w:cnfStyle w:val="000000000000" w:firstRow="0" w:lastRow="0" w:firstColumn="0" w:lastColumn="0" w:oddVBand="0" w:evenVBand="0" w:oddHBand="0" w:evenHBand="0" w:firstRowFirstColumn="0" w:firstRowLastColumn="0" w:lastRowFirstColumn="0" w:lastRowLastColumn="0"/>
              <w:rPr>
                <w:rFonts w:cs="Arial"/>
                <w:bCs/>
              </w:rPr>
            </w:pPr>
          </w:p>
        </w:tc>
        <w:tc>
          <w:tcPr>
            <w:tcW w:w="4621" w:type="dxa"/>
          </w:tcPr>
          <w:p w14:paraId="15BBE8E0" w14:textId="445E69D0" w:rsidR="007D3387" w:rsidRPr="007D3387" w:rsidRDefault="007D3387">
            <w:pPr>
              <w:cnfStyle w:val="000000000000" w:firstRow="0" w:lastRow="0" w:firstColumn="0" w:lastColumn="0" w:oddVBand="0" w:evenVBand="0" w:oddHBand="0" w:evenHBand="0" w:firstRowFirstColumn="0" w:firstRowLastColumn="0" w:lastRowFirstColumn="0" w:lastRowLastColumn="0"/>
              <w:rPr>
                <w:rFonts w:cs="Arial"/>
              </w:rPr>
            </w:pPr>
            <w:r w:rsidRPr="007D3387">
              <w:rPr>
                <w:rFonts w:cs="Arial"/>
              </w:rPr>
              <w:t>£</w:t>
            </w:r>
            <w:r w:rsidR="00552E6D">
              <w:rPr>
                <w:rFonts w:cs="Arial"/>
              </w:rPr>
              <w:t>100</w:t>
            </w:r>
          </w:p>
          <w:p w14:paraId="64E190AC" w14:textId="557E371F" w:rsidR="007D3387" w:rsidRPr="007D3387" w:rsidRDefault="007D3387">
            <w:pPr>
              <w:cnfStyle w:val="000000000000" w:firstRow="0" w:lastRow="0" w:firstColumn="0" w:lastColumn="0" w:oddVBand="0" w:evenVBand="0" w:oddHBand="0" w:evenHBand="0" w:firstRowFirstColumn="0" w:firstRowLastColumn="0" w:lastRowFirstColumn="0" w:lastRowLastColumn="0"/>
              <w:rPr>
                <w:rFonts w:cs="Arial"/>
              </w:rPr>
            </w:pPr>
          </w:p>
        </w:tc>
      </w:tr>
      <w:tr w:rsidR="001A5AFA" w:rsidRPr="007D3387" w14:paraId="26D0A331" w14:textId="77777777" w:rsidTr="007D3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18DCA45F" w14:textId="3F032956" w:rsidR="001A5AFA" w:rsidRDefault="001A5AFA" w:rsidP="001A5AFA">
            <w:pPr>
              <w:rPr>
                <w:rFonts w:cs="Arial"/>
                <w:bCs w:val="0"/>
              </w:rPr>
            </w:pPr>
            <w:r w:rsidRPr="007D3387">
              <w:rPr>
                <w:rFonts w:cs="Arial"/>
                <w:b w:val="0"/>
              </w:rPr>
              <w:t xml:space="preserve">Firearms </w:t>
            </w:r>
            <w:r>
              <w:rPr>
                <w:rFonts w:cs="Arial"/>
                <w:b w:val="0"/>
              </w:rPr>
              <w:t>licence - R</w:t>
            </w:r>
            <w:r w:rsidRPr="007D3387">
              <w:rPr>
                <w:rFonts w:cs="Arial"/>
                <w:b w:val="0"/>
              </w:rPr>
              <w:t xml:space="preserve">enewal </w:t>
            </w:r>
          </w:p>
          <w:p w14:paraId="53372B91" w14:textId="77777777" w:rsidR="001A5AFA" w:rsidRPr="007D3387" w:rsidRDefault="001A5AFA">
            <w:pPr>
              <w:rPr>
                <w:rFonts w:cs="Arial"/>
              </w:rPr>
            </w:pPr>
          </w:p>
        </w:tc>
        <w:tc>
          <w:tcPr>
            <w:tcW w:w="236" w:type="dxa"/>
            <w:tcBorders>
              <w:left w:val="single" w:sz="4" w:space="0" w:color="auto"/>
            </w:tcBorders>
          </w:tcPr>
          <w:p w14:paraId="068F3D56" w14:textId="77777777" w:rsidR="001A5AFA" w:rsidRPr="007D3387" w:rsidRDefault="001A5AFA">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4030AFAF" w14:textId="7FC67E67" w:rsidR="001A5AFA" w:rsidRPr="007D3387" w:rsidRDefault="001A5AFA">
            <w:pPr>
              <w:cnfStyle w:val="000000100000" w:firstRow="0" w:lastRow="0" w:firstColumn="0" w:lastColumn="0" w:oddVBand="0" w:evenVBand="0" w:oddHBand="1" w:evenHBand="0" w:firstRowFirstColumn="0" w:firstRowLastColumn="0" w:lastRowFirstColumn="0" w:lastRowLastColumn="0"/>
              <w:rPr>
                <w:rFonts w:cs="Arial"/>
              </w:rPr>
            </w:pPr>
            <w:r>
              <w:rPr>
                <w:rFonts w:cs="Arial"/>
              </w:rPr>
              <w:t>£75</w:t>
            </w:r>
          </w:p>
        </w:tc>
      </w:tr>
      <w:tr w:rsidR="007D3387" w:rsidRPr="007D3387" w14:paraId="32B4F128" w14:textId="77777777" w:rsidTr="007D3387">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60962E76" w14:textId="77777777" w:rsidR="007D3387" w:rsidRPr="007D3387" w:rsidRDefault="007D3387">
            <w:pPr>
              <w:rPr>
                <w:rFonts w:cs="Arial"/>
                <w:b w:val="0"/>
              </w:rPr>
            </w:pPr>
            <w:r w:rsidRPr="007D3387">
              <w:rPr>
                <w:rFonts w:cs="Arial"/>
                <w:b w:val="0"/>
              </w:rPr>
              <w:t xml:space="preserve">Medical forms- adoption/fostering </w:t>
            </w:r>
          </w:p>
          <w:p w14:paraId="7C814632" w14:textId="77777777" w:rsidR="007D3387" w:rsidRPr="007D3387" w:rsidRDefault="007D3387">
            <w:pPr>
              <w:rPr>
                <w:rFonts w:cs="Arial"/>
                <w:b w:val="0"/>
              </w:rPr>
            </w:pPr>
          </w:p>
        </w:tc>
        <w:tc>
          <w:tcPr>
            <w:tcW w:w="236" w:type="dxa"/>
            <w:tcBorders>
              <w:left w:val="single" w:sz="4" w:space="0" w:color="auto"/>
            </w:tcBorders>
          </w:tcPr>
          <w:p w14:paraId="066EEA7F" w14:textId="77777777" w:rsidR="007D3387" w:rsidRPr="007D3387" w:rsidRDefault="007D3387">
            <w:pPr>
              <w:cnfStyle w:val="000000000000" w:firstRow="0" w:lastRow="0" w:firstColumn="0" w:lastColumn="0" w:oddVBand="0" w:evenVBand="0" w:oddHBand="0" w:evenHBand="0" w:firstRowFirstColumn="0" w:firstRowLastColumn="0" w:lastRowFirstColumn="0" w:lastRowLastColumn="0"/>
              <w:rPr>
                <w:rFonts w:cs="Arial"/>
                <w:bCs/>
              </w:rPr>
            </w:pPr>
          </w:p>
        </w:tc>
        <w:tc>
          <w:tcPr>
            <w:tcW w:w="4621" w:type="dxa"/>
          </w:tcPr>
          <w:p w14:paraId="6826C733" w14:textId="6D175DDE" w:rsidR="007D3387" w:rsidRPr="007D3387" w:rsidRDefault="007D3387">
            <w:pPr>
              <w:cnfStyle w:val="000000000000" w:firstRow="0" w:lastRow="0" w:firstColumn="0" w:lastColumn="0" w:oddVBand="0" w:evenVBand="0" w:oddHBand="0" w:evenHBand="0" w:firstRowFirstColumn="0" w:firstRowLastColumn="0" w:lastRowFirstColumn="0" w:lastRowLastColumn="0"/>
              <w:rPr>
                <w:rFonts w:cs="Arial"/>
              </w:rPr>
            </w:pPr>
            <w:r w:rsidRPr="007D3387">
              <w:rPr>
                <w:rFonts w:cs="Arial"/>
              </w:rPr>
              <w:t>£</w:t>
            </w:r>
            <w:r w:rsidR="00552E6D">
              <w:rPr>
                <w:rFonts w:cs="Arial"/>
              </w:rPr>
              <w:t>150</w:t>
            </w:r>
          </w:p>
        </w:tc>
      </w:tr>
      <w:tr w:rsidR="007D3387" w:rsidRPr="007D3387" w14:paraId="7A9F1037" w14:textId="77777777" w:rsidTr="007D3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62944825" w14:textId="2CBFCA78" w:rsidR="007D3387" w:rsidRPr="007D3387" w:rsidRDefault="00552E6D" w:rsidP="007D3387">
            <w:pPr>
              <w:pStyle w:val="Default"/>
              <w:rPr>
                <w:rFonts w:asciiTheme="minorHAnsi" w:hAnsiTheme="minorHAnsi" w:cs="Arial"/>
                <w:b w:val="0"/>
              </w:rPr>
            </w:pPr>
            <w:r>
              <w:rPr>
                <w:rFonts w:asciiTheme="minorHAnsi" w:hAnsiTheme="minorHAnsi" w:cs="Arial"/>
                <w:b w:val="0"/>
              </w:rPr>
              <w:t>DVLA Questionnaire - Short</w:t>
            </w:r>
          </w:p>
          <w:p w14:paraId="6DA0B19E" w14:textId="77777777" w:rsidR="007D3387" w:rsidRPr="007D3387" w:rsidRDefault="007D3387" w:rsidP="007D3387">
            <w:pPr>
              <w:pStyle w:val="Default"/>
              <w:rPr>
                <w:rFonts w:asciiTheme="minorHAnsi" w:hAnsiTheme="minorHAnsi" w:cs="Arial"/>
                <w:b w:val="0"/>
              </w:rPr>
            </w:pPr>
          </w:p>
        </w:tc>
        <w:tc>
          <w:tcPr>
            <w:tcW w:w="236" w:type="dxa"/>
            <w:tcBorders>
              <w:left w:val="single" w:sz="4" w:space="0" w:color="auto"/>
            </w:tcBorders>
          </w:tcPr>
          <w:p w14:paraId="48CAF61B" w14:textId="77777777"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2D503F74" w14:textId="015EC26D"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rPr>
            </w:pPr>
            <w:r w:rsidRPr="007D3387">
              <w:rPr>
                <w:rFonts w:cs="Arial"/>
              </w:rPr>
              <w:t>£</w:t>
            </w:r>
            <w:r w:rsidR="00552E6D">
              <w:rPr>
                <w:rFonts w:cs="Arial"/>
              </w:rPr>
              <w:t>48</w:t>
            </w:r>
          </w:p>
        </w:tc>
      </w:tr>
      <w:tr w:rsidR="00552E6D" w:rsidRPr="007D3387" w14:paraId="56E72F97" w14:textId="77777777" w:rsidTr="007D3387">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18223CB1" w14:textId="47F955DF" w:rsidR="00552E6D" w:rsidRDefault="00552E6D" w:rsidP="007D3387">
            <w:pPr>
              <w:pStyle w:val="Default"/>
              <w:rPr>
                <w:rFonts w:asciiTheme="minorHAnsi" w:hAnsiTheme="minorHAnsi" w:cs="Arial"/>
                <w:bCs w:val="0"/>
              </w:rPr>
            </w:pPr>
            <w:r>
              <w:rPr>
                <w:rFonts w:asciiTheme="minorHAnsi" w:hAnsiTheme="minorHAnsi" w:cs="Arial"/>
                <w:b w:val="0"/>
              </w:rPr>
              <w:t xml:space="preserve">DVLA Questionnaire </w:t>
            </w:r>
            <w:r w:rsidR="00CF644C">
              <w:rPr>
                <w:rFonts w:asciiTheme="minorHAnsi" w:hAnsiTheme="minorHAnsi" w:cs="Arial"/>
                <w:b w:val="0"/>
              </w:rPr>
              <w:t>–</w:t>
            </w:r>
            <w:r>
              <w:rPr>
                <w:rFonts w:asciiTheme="minorHAnsi" w:hAnsiTheme="minorHAnsi" w:cs="Arial"/>
                <w:b w:val="0"/>
              </w:rPr>
              <w:t xml:space="preserve"> Long</w:t>
            </w:r>
          </w:p>
          <w:p w14:paraId="1C7A5A41" w14:textId="292564B9" w:rsidR="00CF644C" w:rsidRDefault="00CF644C" w:rsidP="007D3387">
            <w:pPr>
              <w:pStyle w:val="Default"/>
              <w:rPr>
                <w:rFonts w:asciiTheme="minorHAnsi" w:hAnsiTheme="minorHAnsi" w:cs="Arial"/>
                <w:b w:val="0"/>
              </w:rPr>
            </w:pPr>
          </w:p>
        </w:tc>
        <w:tc>
          <w:tcPr>
            <w:tcW w:w="236" w:type="dxa"/>
            <w:tcBorders>
              <w:left w:val="single" w:sz="4" w:space="0" w:color="auto"/>
            </w:tcBorders>
          </w:tcPr>
          <w:p w14:paraId="1CE54389" w14:textId="77777777" w:rsidR="00552E6D" w:rsidRPr="007D3387" w:rsidRDefault="00552E6D">
            <w:pPr>
              <w:cnfStyle w:val="000000000000" w:firstRow="0" w:lastRow="0" w:firstColumn="0" w:lastColumn="0" w:oddVBand="0" w:evenVBand="0" w:oddHBand="0" w:evenHBand="0" w:firstRowFirstColumn="0" w:firstRowLastColumn="0" w:lastRowFirstColumn="0" w:lastRowLastColumn="0"/>
              <w:rPr>
                <w:rFonts w:cs="Arial"/>
                <w:bCs/>
              </w:rPr>
            </w:pPr>
          </w:p>
        </w:tc>
        <w:tc>
          <w:tcPr>
            <w:tcW w:w="4621" w:type="dxa"/>
          </w:tcPr>
          <w:p w14:paraId="225CA308" w14:textId="7C788754" w:rsidR="00552E6D" w:rsidRPr="007D3387" w:rsidRDefault="00552E6D">
            <w:pPr>
              <w:cnfStyle w:val="000000000000" w:firstRow="0" w:lastRow="0" w:firstColumn="0" w:lastColumn="0" w:oddVBand="0" w:evenVBand="0" w:oddHBand="0" w:evenHBand="0" w:firstRowFirstColumn="0" w:firstRowLastColumn="0" w:lastRowFirstColumn="0" w:lastRowLastColumn="0"/>
              <w:rPr>
                <w:rFonts w:cs="Arial"/>
              </w:rPr>
            </w:pPr>
            <w:r>
              <w:rPr>
                <w:rFonts w:cs="Arial"/>
              </w:rPr>
              <w:t>£102</w:t>
            </w:r>
          </w:p>
        </w:tc>
      </w:tr>
      <w:tr w:rsidR="007D3387" w:rsidRPr="007D3387" w14:paraId="53A0CB02" w14:textId="77777777" w:rsidTr="007D3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433E0E55" w14:textId="36ECA2D8" w:rsidR="007D3387" w:rsidRPr="007D3387" w:rsidRDefault="007D3387">
            <w:pPr>
              <w:rPr>
                <w:rFonts w:cs="Arial"/>
                <w:b w:val="0"/>
              </w:rPr>
            </w:pPr>
            <w:r w:rsidRPr="007D3387">
              <w:rPr>
                <w:rFonts w:cs="Arial"/>
                <w:b w:val="0"/>
                <w:bCs w:val="0"/>
              </w:rPr>
              <w:t>Health insurance forms (BUPA, PPP etc)</w:t>
            </w:r>
          </w:p>
          <w:p w14:paraId="3EB8B290" w14:textId="77777777" w:rsidR="007D3387" w:rsidRPr="007D3387" w:rsidRDefault="007D3387">
            <w:pPr>
              <w:rPr>
                <w:rFonts w:cs="Arial"/>
                <w:b w:val="0"/>
              </w:rPr>
            </w:pPr>
          </w:p>
        </w:tc>
        <w:tc>
          <w:tcPr>
            <w:tcW w:w="236" w:type="dxa"/>
            <w:tcBorders>
              <w:left w:val="single" w:sz="4" w:space="0" w:color="auto"/>
            </w:tcBorders>
          </w:tcPr>
          <w:p w14:paraId="4EA7166D" w14:textId="77777777"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7B1444D0" w14:textId="6AB57C31" w:rsidR="007D3387" w:rsidRPr="007D3387" w:rsidRDefault="007D3387">
            <w:pPr>
              <w:cnfStyle w:val="000000100000" w:firstRow="0" w:lastRow="0" w:firstColumn="0" w:lastColumn="0" w:oddVBand="0" w:evenVBand="0" w:oddHBand="1" w:evenHBand="0" w:firstRowFirstColumn="0" w:firstRowLastColumn="0" w:lastRowFirstColumn="0" w:lastRowLastColumn="0"/>
              <w:rPr>
                <w:rFonts w:cs="Arial"/>
              </w:rPr>
            </w:pPr>
            <w:r w:rsidRPr="007D3387">
              <w:rPr>
                <w:rFonts w:cs="Arial"/>
              </w:rPr>
              <w:t>£</w:t>
            </w:r>
            <w:r w:rsidR="00552E6D">
              <w:rPr>
                <w:rFonts w:cs="Arial"/>
              </w:rPr>
              <w:t>50</w:t>
            </w:r>
          </w:p>
        </w:tc>
      </w:tr>
      <w:tr w:rsidR="00552E6D" w:rsidRPr="007D3387" w14:paraId="0535B0F2" w14:textId="77777777" w:rsidTr="007D3387">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591D7EF0" w14:textId="77777777" w:rsidR="00552E6D" w:rsidRDefault="00552E6D">
            <w:pPr>
              <w:rPr>
                <w:rFonts w:cs="Arial"/>
              </w:rPr>
            </w:pPr>
            <w:r w:rsidRPr="00552E6D">
              <w:rPr>
                <w:rFonts w:cs="Arial"/>
                <w:b w:val="0"/>
                <w:bCs w:val="0"/>
              </w:rPr>
              <w:t>Holiday Cancellation Forms</w:t>
            </w:r>
          </w:p>
          <w:p w14:paraId="5B70EEA4" w14:textId="4DCDC3F1" w:rsidR="00CF644C" w:rsidRPr="00552E6D" w:rsidRDefault="00CF644C">
            <w:pPr>
              <w:rPr>
                <w:rFonts w:cs="Arial"/>
                <w:b w:val="0"/>
                <w:bCs w:val="0"/>
              </w:rPr>
            </w:pPr>
          </w:p>
        </w:tc>
        <w:tc>
          <w:tcPr>
            <w:tcW w:w="236" w:type="dxa"/>
            <w:tcBorders>
              <w:left w:val="single" w:sz="4" w:space="0" w:color="auto"/>
            </w:tcBorders>
          </w:tcPr>
          <w:p w14:paraId="167FF3D4" w14:textId="77777777" w:rsidR="00552E6D" w:rsidRPr="007D3387" w:rsidRDefault="00552E6D">
            <w:pPr>
              <w:cnfStyle w:val="000000000000" w:firstRow="0" w:lastRow="0" w:firstColumn="0" w:lastColumn="0" w:oddVBand="0" w:evenVBand="0" w:oddHBand="0" w:evenHBand="0" w:firstRowFirstColumn="0" w:firstRowLastColumn="0" w:lastRowFirstColumn="0" w:lastRowLastColumn="0"/>
              <w:rPr>
                <w:rFonts w:cs="Arial"/>
                <w:bCs/>
              </w:rPr>
            </w:pPr>
          </w:p>
        </w:tc>
        <w:tc>
          <w:tcPr>
            <w:tcW w:w="4621" w:type="dxa"/>
          </w:tcPr>
          <w:p w14:paraId="45B9D538" w14:textId="511D3B32" w:rsidR="00552E6D" w:rsidRPr="007D3387" w:rsidRDefault="00552E6D">
            <w:pP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7D3387" w:rsidRPr="007D3387" w14:paraId="7F72571C" w14:textId="77777777" w:rsidTr="002D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5A98F7D9" w14:textId="5559807D" w:rsidR="007D3387" w:rsidRPr="00552E6D" w:rsidRDefault="007D3387" w:rsidP="002D0865">
            <w:pPr>
              <w:rPr>
                <w:rFonts w:cs="Arial"/>
                <w:b w:val="0"/>
              </w:rPr>
            </w:pPr>
            <w:r w:rsidRPr="007D3387">
              <w:rPr>
                <w:rFonts w:cs="Arial"/>
                <w:b w:val="0"/>
                <w:bCs w:val="0"/>
              </w:rPr>
              <w:t xml:space="preserve">Accident &amp;/or sickness forms </w:t>
            </w:r>
            <w:r w:rsidR="00552E6D">
              <w:rPr>
                <w:rFonts w:cs="Arial"/>
                <w:b w:val="0"/>
                <w:bCs w:val="0"/>
              </w:rPr>
              <w:t xml:space="preserve">- </w:t>
            </w:r>
            <w:r w:rsidRPr="00552E6D">
              <w:rPr>
                <w:rFonts w:cs="Arial"/>
                <w:b w:val="0"/>
              </w:rPr>
              <w:t>Includes Loan, Income &amp; Mortgage Protection</w:t>
            </w:r>
          </w:p>
          <w:p w14:paraId="39691DCB" w14:textId="77777777" w:rsidR="007D3387" w:rsidRPr="007D3387" w:rsidRDefault="007D3387" w:rsidP="002D0865">
            <w:pPr>
              <w:rPr>
                <w:rFonts w:cs="Arial"/>
                <w:b w:val="0"/>
              </w:rPr>
            </w:pPr>
          </w:p>
        </w:tc>
        <w:tc>
          <w:tcPr>
            <w:tcW w:w="236" w:type="dxa"/>
            <w:tcBorders>
              <w:left w:val="single" w:sz="4" w:space="0" w:color="auto"/>
            </w:tcBorders>
          </w:tcPr>
          <w:p w14:paraId="10A8C60C" w14:textId="77777777" w:rsidR="007D3387" w:rsidRPr="007D3387" w:rsidRDefault="007D3387" w:rsidP="002D0865">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35C270E8" w14:textId="4A7E7639" w:rsidR="007D3387" w:rsidRPr="007D3387" w:rsidRDefault="007D3387" w:rsidP="002D0865">
            <w:pPr>
              <w:cnfStyle w:val="000000100000" w:firstRow="0" w:lastRow="0" w:firstColumn="0" w:lastColumn="0" w:oddVBand="0" w:evenVBand="0" w:oddHBand="1" w:evenHBand="0" w:firstRowFirstColumn="0" w:firstRowLastColumn="0" w:lastRowFirstColumn="0" w:lastRowLastColumn="0"/>
              <w:rPr>
                <w:rFonts w:cs="Arial"/>
              </w:rPr>
            </w:pPr>
            <w:r w:rsidRPr="007D3387">
              <w:rPr>
                <w:rFonts w:cs="Arial"/>
              </w:rPr>
              <w:t>£</w:t>
            </w:r>
            <w:r w:rsidR="00552E6D">
              <w:rPr>
                <w:rFonts w:cs="Arial"/>
              </w:rPr>
              <w:t>50</w:t>
            </w:r>
          </w:p>
        </w:tc>
      </w:tr>
      <w:tr w:rsidR="007D3387" w:rsidRPr="007D3387" w14:paraId="5D665711" w14:textId="77777777" w:rsidTr="002D0865">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6084BD6A" w14:textId="60F237B1" w:rsidR="007D3387" w:rsidRPr="007D3387" w:rsidRDefault="007D3387" w:rsidP="007D3387">
            <w:pPr>
              <w:autoSpaceDE w:val="0"/>
              <w:autoSpaceDN w:val="0"/>
              <w:adjustRightInd w:val="0"/>
              <w:rPr>
                <w:rFonts w:cs="Arial"/>
                <w:b w:val="0"/>
                <w:color w:val="000000"/>
              </w:rPr>
            </w:pPr>
            <w:r w:rsidRPr="007D3387">
              <w:rPr>
                <w:rFonts w:cs="Arial"/>
                <w:b w:val="0"/>
                <w:bCs w:val="0"/>
              </w:rPr>
              <w:t xml:space="preserve">Accident &amp;/or sickness medical </w:t>
            </w:r>
            <w:r w:rsidRPr="007D3387">
              <w:rPr>
                <w:rFonts w:cs="Arial"/>
                <w:b w:val="0"/>
                <w:color w:val="000000"/>
              </w:rPr>
              <w:t xml:space="preserve">- Includes Loan, Income </w:t>
            </w:r>
            <w:r w:rsidR="00552E6D">
              <w:rPr>
                <w:rFonts w:cs="Arial"/>
                <w:b w:val="0"/>
                <w:color w:val="000000"/>
              </w:rPr>
              <w:t>&amp;</w:t>
            </w:r>
            <w:r w:rsidRPr="007D3387">
              <w:rPr>
                <w:rFonts w:cs="Arial"/>
                <w:b w:val="0"/>
                <w:color w:val="000000"/>
              </w:rPr>
              <w:t xml:space="preserve"> Mortgage Protection</w:t>
            </w:r>
          </w:p>
        </w:tc>
        <w:tc>
          <w:tcPr>
            <w:tcW w:w="236" w:type="dxa"/>
            <w:tcBorders>
              <w:left w:val="single" w:sz="4" w:space="0" w:color="auto"/>
            </w:tcBorders>
          </w:tcPr>
          <w:p w14:paraId="5F63693E" w14:textId="77777777" w:rsidR="007D3387" w:rsidRPr="007D3387" w:rsidRDefault="007D3387" w:rsidP="002D0865">
            <w:pPr>
              <w:cnfStyle w:val="000000000000" w:firstRow="0" w:lastRow="0" w:firstColumn="0" w:lastColumn="0" w:oddVBand="0" w:evenVBand="0" w:oddHBand="0" w:evenHBand="0" w:firstRowFirstColumn="0" w:firstRowLastColumn="0" w:lastRowFirstColumn="0" w:lastRowLastColumn="0"/>
              <w:rPr>
                <w:rFonts w:cs="Arial"/>
                <w:bCs/>
              </w:rPr>
            </w:pPr>
          </w:p>
        </w:tc>
        <w:tc>
          <w:tcPr>
            <w:tcW w:w="4621" w:type="dxa"/>
          </w:tcPr>
          <w:p w14:paraId="03C95248" w14:textId="4BFC5943" w:rsidR="007D3387" w:rsidRPr="007D3387" w:rsidRDefault="00337971" w:rsidP="002D0865">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552E6D">
              <w:rPr>
                <w:rFonts w:cs="Arial"/>
              </w:rPr>
              <w:t>125</w:t>
            </w:r>
          </w:p>
        </w:tc>
      </w:tr>
      <w:tr w:rsidR="00552E6D" w:rsidRPr="007D3387" w14:paraId="0CD5DC50" w14:textId="77777777" w:rsidTr="002D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right w:val="single" w:sz="4" w:space="0" w:color="auto"/>
            </w:tcBorders>
          </w:tcPr>
          <w:p w14:paraId="7BF4EE17" w14:textId="77777777" w:rsidR="00552E6D" w:rsidRDefault="00552E6D" w:rsidP="007D3387">
            <w:pPr>
              <w:autoSpaceDE w:val="0"/>
              <w:autoSpaceDN w:val="0"/>
              <w:adjustRightInd w:val="0"/>
              <w:rPr>
                <w:rFonts w:cs="Arial"/>
              </w:rPr>
            </w:pPr>
            <w:r w:rsidRPr="00552E6D">
              <w:rPr>
                <w:rFonts w:cs="Arial"/>
                <w:b w:val="0"/>
                <w:bCs w:val="0"/>
              </w:rPr>
              <w:t>IGPR (Report requests from insurers)</w:t>
            </w:r>
          </w:p>
          <w:p w14:paraId="44273F74" w14:textId="787DAD45" w:rsidR="00CF644C" w:rsidRPr="00552E6D" w:rsidRDefault="00CF644C" w:rsidP="007D3387">
            <w:pPr>
              <w:autoSpaceDE w:val="0"/>
              <w:autoSpaceDN w:val="0"/>
              <w:adjustRightInd w:val="0"/>
              <w:rPr>
                <w:rFonts w:cs="Arial"/>
                <w:b w:val="0"/>
                <w:bCs w:val="0"/>
              </w:rPr>
            </w:pPr>
          </w:p>
        </w:tc>
        <w:tc>
          <w:tcPr>
            <w:tcW w:w="236" w:type="dxa"/>
            <w:tcBorders>
              <w:left w:val="single" w:sz="4" w:space="0" w:color="auto"/>
            </w:tcBorders>
          </w:tcPr>
          <w:p w14:paraId="30BA24E6" w14:textId="77777777" w:rsidR="00552E6D" w:rsidRPr="007D3387" w:rsidRDefault="00552E6D" w:rsidP="002D0865">
            <w:pPr>
              <w:cnfStyle w:val="000000100000" w:firstRow="0" w:lastRow="0" w:firstColumn="0" w:lastColumn="0" w:oddVBand="0" w:evenVBand="0" w:oddHBand="1" w:evenHBand="0" w:firstRowFirstColumn="0" w:firstRowLastColumn="0" w:lastRowFirstColumn="0" w:lastRowLastColumn="0"/>
              <w:rPr>
                <w:rFonts w:cs="Arial"/>
                <w:bCs/>
              </w:rPr>
            </w:pPr>
          </w:p>
        </w:tc>
        <w:tc>
          <w:tcPr>
            <w:tcW w:w="4621" w:type="dxa"/>
          </w:tcPr>
          <w:p w14:paraId="70266AA3" w14:textId="3564E682" w:rsidR="00552E6D" w:rsidRDefault="00552E6D" w:rsidP="002D0865">
            <w:pPr>
              <w:cnfStyle w:val="000000100000" w:firstRow="0" w:lastRow="0" w:firstColumn="0" w:lastColumn="0" w:oddVBand="0" w:evenVBand="0" w:oddHBand="1" w:evenHBand="0" w:firstRowFirstColumn="0" w:firstRowLastColumn="0" w:lastRowFirstColumn="0" w:lastRowLastColumn="0"/>
              <w:rPr>
                <w:rFonts w:cs="Arial"/>
              </w:rPr>
            </w:pPr>
            <w:r>
              <w:rPr>
                <w:rFonts w:cs="Arial"/>
              </w:rPr>
              <w:t>£104</w:t>
            </w:r>
          </w:p>
        </w:tc>
      </w:tr>
    </w:tbl>
    <w:p w14:paraId="3A2708E2" w14:textId="77777777" w:rsidR="00B9667C" w:rsidRPr="007D3387" w:rsidRDefault="00B9667C"/>
    <w:sectPr w:rsidR="00B9667C" w:rsidRPr="007D338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31DB" w14:textId="77777777" w:rsidR="00F724E0" w:rsidRDefault="00F724E0" w:rsidP="007D3387">
      <w:r>
        <w:separator/>
      </w:r>
    </w:p>
  </w:endnote>
  <w:endnote w:type="continuationSeparator" w:id="0">
    <w:p w14:paraId="3DEC08B6" w14:textId="77777777" w:rsidR="00F724E0" w:rsidRDefault="00F724E0" w:rsidP="007D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3AC3" w14:textId="106FF533" w:rsidR="00A0748A" w:rsidRDefault="00A0748A">
    <w:pPr>
      <w:pStyle w:val="Footer"/>
    </w:pPr>
    <w: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BB88" w14:textId="77777777" w:rsidR="00F724E0" w:rsidRDefault="00F724E0" w:rsidP="007D3387">
      <w:r>
        <w:separator/>
      </w:r>
    </w:p>
  </w:footnote>
  <w:footnote w:type="continuationSeparator" w:id="0">
    <w:p w14:paraId="060D14B6" w14:textId="77777777" w:rsidR="00F724E0" w:rsidRDefault="00F724E0" w:rsidP="007D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031F" w14:textId="77777777" w:rsidR="007D3387" w:rsidRPr="007D3387" w:rsidRDefault="007D3387" w:rsidP="007D3387">
    <w:pPr>
      <w:pStyle w:val="Heading1"/>
      <w:jc w:val="center"/>
    </w:pPr>
    <w:r w:rsidRPr="007D3387">
      <w:t>Burford Surgery</w:t>
    </w:r>
  </w:p>
  <w:p w14:paraId="3FC99F3E" w14:textId="77777777" w:rsidR="007D3387" w:rsidRDefault="007D3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93F"/>
    <w:multiLevelType w:val="multilevel"/>
    <w:tmpl w:val="C55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F4CF7"/>
    <w:multiLevelType w:val="multilevel"/>
    <w:tmpl w:val="A83C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8833245">
    <w:abstractNumId w:val="0"/>
  </w:num>
  <w:num w:numId="2" w16cid:durableId="130207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87"/>
    <w:rsid w:val="001A5AFA"/>
    <w:rsid w:val="00337971"/>
    <w:rsid w:val="003D2122"/>
    <w:rsid w:val="00552E6D"/>
    <w:rsid w:val="00692910"/>
    <w:rsid w:val="007D3387"/>
    <w:rsid w:val="00834ED3"/>
    <w:rsid w:val="00A0748A"/>
    <w:rsid w:val="00B26A32"/>
    <w:rsid w:val="00B87C8D"/>
    <w:rsid w:val="00B9667C"/>
    <w:rsid w:val="00CF644C"/>
    <w:rsid w:val="00D254EC"/>
    <w:rsid w:val="00F7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2F2F1"/>
  <w15:docId w15:val="{4EB69774-AE16-4CE7-BFD6-818F6CD9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2"/>
    <w:rPr>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table" w:styleId="TableGrid">
    <w:name w:val="Table Grid"/>
    <w:basedOn w:val="TableNormal"/>
    <w:uiPriority w:val="59"/>
    <w:rsid w:val="007D3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D338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D3387"/>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7D3387"/>
    <w:pPr>
      <w:tabs>
        <w:tab w:val="center" w:pos="4513"/>
        <w:tab w:val="right" w:pos="9026"/>
      </w:tabs>
    </w:pPr>
  </w:style>
  <w:style w:type="character" w:customStyle="1" w:styleId="HeaderChar">
    <w:name w:val="Header Char"/>
    <w:basedOn w:val="DefaultParagraphFont"/>
    <w:link w:val="Header"/>
    <w:uiPriority w:val="99"/>
    <w:rsid w:val="007D3387"/>
    <w:rPr>
      <w:sz w:val="24"/>
      <w:szCs w:val="24"/>
    </w:rPr>
  </w:style>
  <w:style w:type="paragraph" w:styleId="Footer">
    <w:name w:val="footer"/>
    <w:basedOn w:val="Normal"/>
    <w:link w:val="FooterChar"/>
    <w:uiPriority w:val="99"/>
    <w:unhideWhenUsed/>
    <w:rsid w:val="007D3387"/>
    <w:pPr>
      <w:tabs>
        <w:tab w:val="center" w:pos="4513"/>
        <w:tab w:val="right" w:pos="9026"/>
      </w:tabs>
    </w:pPr>
  </w:style>
  <w:style w:type="character" w:customStyle="1" w:styleId="FooterChar">
    <w:name w:val="Footer Char"/>
    <w:basedOn w:val="DefaultParagraphFont"/>
    <w:link w:val="Footer"/>
    <w:uiPriority w:val="99"/>
    <w:rsid w:val="007D3387"/>
    <w:rPr>
      <w:sz w:val="24"/>
      <w:szCs w:val="24"/>
    </w:rPr>
  </w:style>
  <w:style w:type="paragraph" w:styleId="BalloonText">
    <w:name w:val="Balloon Text"/>
    <w:basedOn w:val="Normal"/>
    <w:link w:val="BalloonTextChar"/>
    <w:uiPriority w:val="99"/>
    <w:semiHidden/>
    <w:unhideWhenUsed/>
    <w:rsid w:val="007D3387"/>
    <w:rPr>
      <w:rFonts w:ascii="Tahoma" w:hAnsi="Tahoma" w:cs="Tahoma"/>
      <w:sz w:val="16"/>
      <w:szCs w:val="16"/>
    </w:rPr>
  </w:style>
  <w:style w:type="character" w:customStyle="1" w:styleId="BalloonTextChar">
    <w:name w:val="Balloon Text Char"/>
    <w:basedOn w:val="DefaultParagraphFont"/>
    <w:link w:val="BalloonText"/>
    <w:uiPriority w:val="99"/>
    <w:semiHidden/>
    <w:rsid w:val="007D3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44463">
      <w:bodyDiv w:val="1"/>
      <w:marLeft w:val="0"/>
      <w:marRight w:val="0"/>
      <w:marTop w:val="0"/>
      <w:marBottom w:val="0"/>
      <w:divBdr>
        <w:top w:val="none" w:sz="0" w:space="0" w:color="auto"/>
        <w:left w:val="none" w:sz="0" w:space="0" w:color="auto"/>
        <w:bottom w:val="none" w:sz="0" w:space="0" w:color="auto"/>
        <w:right w:val="none" w:sz="0" w:space="0" w:color="auto"/>
      </w:divBdr>
      <w:divsChild>
        <w:div w:id="2138722648">
          <w:marLeft w:val="0"/>
          <w:marRight w:val="0"/>
          <w:marTop w:val="0"/>
          <w:marBottom w:val="0"/>
          <w:divBdr>
            <w:top w:val="none" w:sz="0" w:space="0" w:color="auto"/>
            <w:left w:val="none" w:sz="0" w:space="0" w:color="auto"/>
            <w:bottom w:val="none" w:sz="0" w:space="0" w:color="auto"/>
            <w:right w:val="none" w:sz="0" w:space="0" w:color="auto"/>
          </w:divBdr>
          <w:divsChild>
            <w:div w:id="1147556586">
              <w:marLeft w:val="0"/>
              <w:marRight w:val="0"/>
              <w:marTop w:val="0"/>
              <w:marBottom w:val="0"/>
              <w:divBdr>
                <w:top w:val="none" w:sz="0" w:space="0" w:color="auto"/>
                <w:left w:val="none" w:sz="0" w:space="0" w:color="auto"/>
                <w:bottom w:val="none" w:sz="0" w:space="0" w:color="auto"/>
                <w:right w:val="none" w:sz="0" w:space="0" w:color="auto"/>
              </w:divBdr>
              <w:divsChild>
                <w:div w:id="471558236">
                  <w:marLeft w:val="0"/>
                  <w:marRight w:val="0"/>
                  <w:marTop w:val="0"/>
                  <w:marBottom w:val="0"/>
                  <w:divBdr>
                    <w:top w:val="none" w:sz="0" w:space="0" w:color="auto"/>
                    <w:left w:val="none" w:sz="0" w:space="0" w:color="auto"/>
                    <w:bottom w:val="none" w:sz="0" w:space="0" w:color="auto"/>
                    <w:right w:val="none" w:sz="0" w:space="0" w:color="auto"/>
                  </w:divBdr>
                  <w:divsChild>
                    <w:div w:id="1874732526">
                      <w:marLeft w:val="0"/>
                      <w:marRight w:val="0"/>
                      <w:marTop w:val="0"/>
                      <w:marBottom w:val="0"/>
                      <w:divBdr>
                        <w:top w:val="none" w:sz="0" w:space="0" w:color="auto"/>
                        <w:left w:val="none" w:sz="0" w:space="0" w:color="auto"/>
                        <w:bottom w:val="none" w:sz="0" w:space="0" w:color="auto"/>
                        <w:right w:val="none" w:sz="0" w:space="0" w:color="auto"/>
                      </w:divBdr>
                      <w:divsChild>
                        <w:div w:id="1561211737">
                          <w:marLeft w:val="0"/>
                          <w:marRight w:val="0"/>
                          <w:marTop w:val="0"/>
                          <w:marBottom w:val="0"/>
                          <w:divBdr>
                            <w:top w:val="none" w:sz="0" w:space="0" w:color="auto"/>
                            <w:left w:val="none" w:sz="0" w:space="0" w:color="auto"/>
                            <w:bottom w:val="none" w:sz="0" w:space="0" w:color="auto"/>
                            <w:right w:val="none" w:sz="0" w:space="0" w:color="auto"/>
                          </w:divBdr>
                          <w:divsChild>
                            <w:div w:id="1254895171">
                              <w:marLeft w:val="0"/>
                              <w:marRight w:val="0"/>
                              <w:marTop w:val="0"/>
                              <w:marBottom w:val="0"/>
                              <w:divBdr>
                                <w:top w:val="none" w:sz="0" w:space="0" w:color="auto"/>
                                <w:left w:val="none" w:sz="0" w:space="0" w:color="auto"/>
                                <w:bottom w:val="none" w:sz="0" w:space="0" w:color="auto"/>
                                <w:right w:val="none" w:sz="0" w:space="0" w:color="auto"/>
                              </w:divBdr>
                              <w:divsChild>
                                <w:div w:id="1181701965">
                                  <w:marLeft w:val="0"/>
                                  <w:marRight w:val="0"/>
                                  <w:marTop w:val="0"/>
                                  <w:marBottom w:val="0"/>
                                  <w:divBdr>
                                    <w:top w:val="none" w:sz="0" w:space="0" w:color="auto"/>
                                    <w:left w:val="none" w:sz="0" w:space="0" w:color="auto"/>
                                    <w:bottom w:val="none" w:sz="0" w:space="0" w:color="auto"/>
                                    <w:right w:val="none" w:sz="0" w:space="0" w:color="auto"/>
                                  </w:divBdr>
                                  <w:divsChild>
                                    <w:div w:id="89470251">
                                      <w:marLeft w:val="0"/>
                                      <w:marRight w:val="0"/>
                                      <w:marTop w:val="0"/>
                                      <w:marBottom w:val="0"/>
                                      <w:divBdr>
                                        <w:top w:val="none" w:sz="0" w:space="0" w:color="auto"/>
                                        <w:left w:val="none" w:sz="0" w:space="0" w:color="auto"/>
                                        <w:bottom w:val="none" w:sz="0" w:space="0" w:color="auto"/>
                                        <w:right w:val="none" w:sz="0" w:space="0" w:color="auto"/>
                                      </w:divBdr>
                                      <w:divsChild>
                                        <w:div w:id="782186547">
                                          <w:marLeft w:val="0"/>
                                          <w:marRight w:val="0"/>
                                          <w:marTop w:val="0"/>
                                          <w:marBottom w:val="0"/>
                                          <w:divBdr>
                                            <w:top w:val="none" w:sz="0" w:space="0" w:color="auto"/>
                                            <w:left w:val="none" w:sz="0" w:space="0" w:color="auto"/>
                                            <w:bottom w:val="none" w:sz="0" w:space="0" w:color="auto"/>
                                            <w:right w:val="none" w:sz="0" w:space="0" w:color="auto"/>
                                          </w:divBdr>
                                          <w:divsChild>
                                            <w:div w:id="235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MISKIN-GARSIDE, Ella (BURFORD SURGERY)</cp:lastModifiedBy>
  <cp:revision>6</cp:revision>
  <cp:lastPrinted>2019-10-09T11:46:00Z</cp:lastPrinted>
  <dcterms:created xsi:type="dcterms:W3CDTF">2026-03-06T10:48:00Z</dcterms:created>
  <dcterms:modified xsi:type="dcterms:W3CDTF">2026-03-18T13:47:00Z</dcterms:modified>
</cp:coreProperties>
</file>